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C72C" w14:textId="77777777" w:rsidR="00667B87" w:rsidRPr="00067386" w:rsidRDefault="00000000">
      <w:pPr>
        <w:widowControl/>
        <w:spacing w:beforeAutospacing="1" w:afterAutospacing="1" w:line="600" w:lineRule="atLeast"/>
        <w:ind w:firstLine="640"/>
        <w:jc w:val="left"/>
        <w:rPr>
          <w:rFonts w:ascii="微软雅黑" w:eastAsia="微软雅黑" w:hAnsi="微软雅黑" w:cs="微软雅黑" w:hint="eastAsia"/>
          <w:color w:val="000000"/>
        </w:rPr>
      </w:pPr>
      <w:r w:rsidRPr="0006738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为便于供应商及时了解鄂尔多斯实验室的采购信息，依据《财政部关于开展政府采购意向公开工作的通知》 (财库(2020)10号)等有关规定，现将鄂尔多斯实验室采购意向公开如下: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835"/>
        <w:gridCol w:w="5896"/>
      </w:tblGrid>
      <w:tr w:rsidR="00667B87" w:rsidRPr="00067386" w14:paraId="3C39B627" w14:textId="77777777" w:rsidTr="00E45AB4">
        <w:trPr>
          <w:trHeight w:val="437"/>
          <w:tblCellSpacing w:w="0" w:type="dxa"/>
          <w:jc w:val="center"/>
        </w:trPr>
        <w:tc>
          <w:tcPr>
            <w:tcW w:w="337" w:type="pct"/>
            <w:shd w:val="clear" w:color="auto" w:fill="auto"/>
            <w:vAlign w:val="center"/>
          </w:tcPr>
          <w:p w14:paraId="7F2FA61E" w14:textId="77777777" w:rsidR="00667B87" w:rsidRPr="00067386" w:rsidRDefault="00000000">
            <w:pPr>
              <w:widowControl/>
              <w:spacing w:beforeAutospacing="1" w:afterAutospacing="1" w:line="440" w:lineRule="atLeast"/>
              <w:jc w:val="center"/>
              <w:rPr>
                <w:color w:val="000000"/>
              </w:rPr>
            </w:pPr>
            <w:r w:rsidRPr="00067386">
              <w:rPr>
                <w:rStyle w:val="a8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204C382" w14:textId="77777777" w:rsidR="00667B87" w:rsidRPr="00067386" w:rsidRDefault="00000000">
            <w:pPr>
              <w:widowControl/>
              <w:spacing w:beforeAutospacing="1" w:afterAutospacing="1" w:line="440" w:lineRule="atLeast"/>
              <w:jc w:val="center"/>
              <w:rPr>
                <w:color w:val="000000"/>
              </w:rPr>
            </w:pPr>
            <w:r w:rsidRPr="00067386">
              <w:rPr>
                <w:rStyle w:val="a8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BCD40BE" w14:textId="77777777" w:rsidR="00667B87" w:rsidRPr="00067386" w:rsidRDefault="00000000">
            <w:pPr>
              <w:widowControl/>
              <w:spacing w:beforeAutospacing="1" w:afterAutospacing="1" w:line="440" w:lineRule="atLeast"/>
              <w:jc w:val="center"/>
              <w:rPr>
                <w:color w:val="000000"/>
              </w:rPr>
            </w:pPr>
            <w:r w:rsidRPr="00067386">
              <w:rPr>
                <w:rStyle w:val="a8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采购需求概况</w:t>
            </w:r>
          </w:p>
        </w:tc>
      </w:tr>
      <w:tr w:rsidR="00667B87" w:rsidRPr="00067386" w14:paraId="64D6F364" w14:textId="77777777" w:rsidTr="00E45AB4">
        <w:trPr>
          <w:trHeight w:val="90"/>
          <w:tblCellSpacing w:w="0" w:type="dxa"/>
          <w:jc w:val="center"/>
        </w:trPr>
        <w:tc>
          <w:tcPr>
            <w:tcW w:w="337" w:type="pct"/>
            <w:shd w:val="clear" w:color="auto" w:fill="auto"/>
            <w:vAlign w:val="center"/>
          </w:tcPr>
          <w:p w14:paraId="0D0DDD33" w14:textId="77777777" w:rsidR="00667B87" w:rsidRPr="00067386" w:rsidRDefault="00000000">
            <w:pPr>
              <w:widowControl/>
              <w:spacing w:beforeAutospacing="1" w:afterAutospacing="1" w:line="405" w:lineRule="atLeast"/>
              <w:jc w:val="center"/>
              <w:rPr>
                <w:color w:val="000000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7EB97A3" w14:textId="023346FB" w:rsidR="00667B87" w:rsidRPr="00E45AB4" w:rsidRDefault="00E45AB4" w:rsidP="00E45AB4">
            <w:pPr>
              <w:rPr>
                <w:color w:val="000000"/>
              </w:rPr>
            </w:pPr>
            <w:r w:rsidRPr="00E45AB4">
              <w:rPr>
                <w:rFonts w:hint="eastAsia"/>
                <w:color w:val="000000"/>
              </w:rPr>
              <w:t>新型高温工业热储能电热转化技术研发试验平台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54252533" w14:textId="275CF2E3" w:rsidR="00667B87" w:rsidRDefault="00067386" w:rsidP="00B5208A">
            <w:pPr>
              <w:pStyle w:val="a7"/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采购标名称</w:t>
            </w:r>
            <w:r w:rsidRPr="00067386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 w:rsidR="00815D66">
              <w:rPr>
                <w:rFonts w:ascii="宋体" w:eastAsia="宋体" w:hAnsi="宋体" w:cs="宋体" w:hint="eastAsia"/>
                <w:sz w:val="21"/>
                <w:szCs w:val="21"/>
              </w:rPr>
              <w:t>新型高温工业热储能电热转化技术研发</w:t>
            </w:r>
            <w:r w:rsidR="00B5208A">
              <w:rPr>
                <w:rFonts w:ascii="宋体" w:eastAsia="宋体" w:hAnsi="宋体" w:cs="宋体" w:hint="eastAsia"/>
                <w:sz w:val="21"/>
                <w:szCs w:val="21"/>
              </w:rPr>
              <w:t>试验</w:t>
            </w:r>
            <w:r w:rsidR="00815D66">
              <w:rPr>
                <w:rFonts w:ascii="宋体" w:eastAsia="宋体" w:hAnsi="宋体" w:cs="宋体" w:hint="eastAsia"/>
                <w:sz w:val="21"/>
                <w:szCs w:val="21"/>
              </w:rPr>
              <w:t>平台</w:t>
            </w:r>
          </w:p>
          <w:p w14:paraId="75D49E3A" w14:textId="5A0D6C96" w:rsidR="00815D66" w:rsidRDefault="00815D66" w:rsidP="00754412">
            <w:pPr>
              <w:pStyle w:val="a7"/>
              <w:widowControl/>
              <w:ind w:firstLineChars="200" w:firstLine="420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设计并建成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套用于</w:t>
            </w:r>
            <w:r w:rsidR="00A51B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长时高效</w:t>
            </w:r>
            <w:r w:rsidR="009B7A1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超高温流态化工业热储能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电热转化技术研发</w:t>
            </w:r>
            <w:r w:rsidR="009B7A1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</w:t>
            </w:r>
            <w:r w:rsidR="00B5208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试验</w:t>
            </w:r>
            <w:r w:rsidR="009B7A1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平台，包含两台</w:t>
            </w:r>
            <w:r w:rsidR="00B5208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核心</w:t>
            </w:r>
            <w:r w:rsidR="009B7A1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设备</w:t>
            </w:r>
            <w:r w:rsidR="00B5208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及配套系统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，分别为</w:t>
            </w:r>
            <w:r w:rsidRPr="00815D6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3000℃</w:t>
            </w:r>
            <w:r w:rsidR="00A51B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超</w:t>
            </w:r>
            <w:r w:rsidRPr="00815D6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高温流化</w:t>
            </w:r>
            <w:proofErr w:type="gramStart"/>
            <w:r w:rsidRPr="00815D6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床</w:t>
            </w:r>
            <w:r w:rsidR="00B5208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系统</w:t>
            </w:r>
            <w:proofErr w:type="gramEnd"/>
            <w:r w:rsidR="009B7A1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以及</w:t>
            </w:r>
            <w:r w:rsidRPr="00815D6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5MW电磁感应加热高温流化床</w:t>
            </w:r>
            <w:r w:rsidR="00B5208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系统</w:t>
            </w:r>
            <w:r w:rsidR="007544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。试验平台可以</w:t>
            </w:r>
            <w:r w:rsidR="00754412" w:rsidRPr="007544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支持</w:t>
            </w:r>
            <w:r w:rsidR="007544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</w:t>
            </w:r>
            <w:r w:rsidR="00754412" w:rsidRPr="007544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超高温流态化技术和大功率、大容量电热转化技术的多项实验需求</w:t>
            </w:r>
            <w:r w:rsidR="0075441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="009B7A1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作为鄂尔多斯能源</w:t>
            </w:r>
            <w:r w:rsidR="00B5208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利用模式的转型与升级的重要试验支撑平台。</w:t>
            </w:r>
          </w:p>
          <w:p w14:paraId="02D697E8" w14:textId="598A6BE6" w:rsidR="00815D66" w:rsidRPr="00B5208A" w:rsidRDefault="00B5208A" w:rsidP="00B5208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二、</w:t>
            </w:r>
            <w:r w:rsidR="00067386" w:rsidRPr="00B5208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采购标的需实现的主要功能或目标：</w:t>
            </w:r>
          </w:p>
          <w:p w14:paraId="3539E4A2" w14:textId="4F04C644" w:rsidR="00B5208A" w:rsidRPr="00B5208A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 w:rsidRPr="00B5208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3000℃</w:t>
            </w:r>
            <w:r w:rsidR="00A51B9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</w:t>
            </w:r>
            <w:r w:rsidRPr="00B5208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高温流化床系统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</w:p>
          <w:p w14:paraId="171FFF47" w14:textId="77777777" w:rsidR="00667B87" w:rsidRPr="00067386" w:rsidRDefault="00000000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（1）操作温度：常温-</w:t>
            </w:r>
            <w:r w:rsidRPr="00067386">
              <w:rPr>
                <w:rFonts w:ascii="宋体" w:eastAsia="宋体" w:hAnsi="宋体" w:cs="宋体"/>
                <w:color w:val="000000"/>
                <w:szCs w:val="21"/>
              </w:rPr>
              <w:t>3000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℃；</w:t>
            </w:r>
          </w:p>
          <w:p w14:paraId="4190FE64" w14:textId="2206CF7F" w:rsidR="00667B87" w:rsidRPr="00067386" w:rsidRDefault="00000000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（2）颗粒处理能力：＞100kg/h；</w:t>
            </w:r>
          </w:p>
          <w:p w14:paraId="42FA8FD8" w14:textId="5EAF1FA1" w:rsidR="001534DE" w:rsidRDefault="00000000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（3）</w:t>
            </w:r>
            <w:r w:rsidR="00BE5EDF">
              <w:rPr>
                <w:rFonts w:ascii="宋体" w:eastAsia="宋体" w:hAnsi="宋体" w:cs="宋体" w:hint="eastAsia"/>
                <w:color w:val="000000"/>
                <w:szCs w:val="21"/>
              </w:rPr>
              <w:t>固体颗粒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连续</w:t>
            </w:r>
            <w:r w:rsidR="001534DE">
              <w:rPr>
                <w:rFonts w:ascii="宋体" w:eastAsia="宋体" w:hAnsi="宋体" w:cs="宋体" w:hint="eastAsia"/>
                <w:color w:val="000000"/>
                <w:szCs w:val="21"/>
              </w:rPr>
              <w:t>稳定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供</w:t>
            </w:r>
            <w:r w:rsidR="00BE5EDF">
              <w:rPr>
                <w:rFonts w:ascii="宋体" w:eastAsia="宋体" w:hAnsi="宋体" w:cs="宋体" w:hint="eastAsia"/>
                <w:color w:val="000000"/>
                <w:szCs w:val="21"/>
              </w:rPr>
              <w:t>给和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排</w:t>
            </w:r>
            <w:r w:rsidR="00BE5EDF">
              <w:rPr>
                <w:rFonts w:ascii="宋体" w:eastAsia="宋体" w:hAnsi="宋体" w:cs="宋体" w:hint="eastAsia"/>
                <w:color w:val="000000"/>
                <w:szCs w:val="21"/>
              </w:rPr>
              <w:t>出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088F5085" w14:textId="73A5EA7B" w:rsidR="001534DE" w:rsidRPr="00067386" w:rsidRDefault="001534DE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4）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固体颗粒进料设置预热、预处理方法和装置</w:t>
            </w:r>
            <w:r w:rsidR="00562419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1D09BE0A" w14:textId="7F5D5F7E" w:rsidR="00667B87" w:rsidRPr="00067386" w:rsidRDefault="00000000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="005F7FB8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）反应器本体、进口和出口温度可分区控制；</w:t>
            </w:r>
          </w:p>
          <w:p w14:paraId="19CC421A" w14:textId="3C255637" w:rsidR="00667B87" w:rsidRDefault="00000000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="005F7FB8"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）反应器配套现场红外成像系统。</w:t>
            </w:r>
          </w:p>
          <w:p w14:paraId="7DA66988" w14:textId="378C7628" w:rsidR="00B5208A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 w:rsidRPr="00B5208A">
              <w:rPr>
                <w:rFonts w:ascii="宋体" w:eastAsia="宋体" w:hAnsi="宋体" w:cs="宋体" w:hint="eastAsia"/>
                <w:color w:val="000000"/>
                <w:szCs w:val="21"/>
              </w:rPr>
              <w:t>5MW电磁感应加热高温流化床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系统：</w:t>
            </w:r>
          </w:p>
          <w:p w14:paraId="79193F4E" w14:textId="04B3B7FF" w:rsidR="00B5208A" w:rsidRPr="00067386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（1）加热装置形式：连续进出料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多级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气固流化床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589E9CC1" w14:textId="77777777" w:rsidR="00B5208A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（2）加热方式：电磁感应加热；</w:t>
            </w:r>
          </w:p>
          <w:p w14:paraId="57F0770C" w14:textId="77777777" w:rsidR="00B5208A" w:rsidRPr="00067386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（3）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转化效率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不低于90%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3F13E685" w14:textId="77777777" w:rsidR="00B5208A" w:rsidRPr="00067386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）加热要求：额定功率5MW，功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率可灵活调节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797F4A04" w14:textId="77777777" w:rsidR="00B5208A" w:rsidRPr="00067386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）加热温度：进出口温度范围为1</w:t>
            </w:r>
            <w:r w:rsidRPr="00067386"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 w:rsidRPr="00067386">
              <w:rPr>
                <w:rFonts w:ascii="宋体" w:eastAsia="宋体" w:hAnsi="宋体" w:cs="宋体"/>
                <w:color w:val="000000"/>
                <w:szCs w:val="21"/>
              </w:rPr>
              <w:t>1500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℃；</w:t>
            </w:r>
          </w:p>
          <w:p w14:paraId="58A00CBE" w14:textId="261D70E8" w:rsidR="00B5208A" w:rsidRPr="00B5208A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）物料处理量：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0-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Pr="00067386">
              <w:rPr>
                <w:rFonts w:ascii="宋体" w:eastAsia="宋体" w:hAnsi="宋体" w:cs="宋体"/>
                <w:color w:val="000000"/>
                <w:szCs w:val="21"/>
              </w:rPr>
              <w:t>3</w:t>
            </w:r>
            <w:r w:rsidRPr="00067386">
              <w:rPr>
                <w:rFonts w:ascii="宋体" w:eastAsia="宋体" w:hAnsi="宋体" w:cs="宋体" w:hint="eastAsia"/>
                <w:color w:val="000000"/>
                <w:szCs w:val="21"/>
              </w:rPr>
              <w:t>t/h</w:t>
            </w:r>
            <w:r w:rsidR="00E45AB4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4C10A953" w14:textId="26E0214A" w:rsidR="00667B87" w:rsidRPr="00067386" w:rsidRDefault="00B5208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三、</w:t>
            </w:r>
            <w:r w:rsidR="00067386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对供货方资质和业绩的要求：</w:t>
            </w:r>
          </w:p>
          <w:p w14:paraId="40CAB815" w14:textId="2875C641" w:rsidR="00B5208A" w:rsidRPr="00067386" w:rsidRDefault="00B5208A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投标人具有有效的特种设备</w:t>
            </w:r>
            <w:r w:rsidR="00504A2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</w:t>
            </w: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许可资质（固定式压力容器，中、低压容器（D））</w:t>
            </w:r>
            <w:r w:rsidR="001A3C82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018CA66C" w14:textId="4A229C7E" w:rsidR="00667B87" w:rsidRPr="00067386" w:rsidRDefault="00B5208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四、</w:t>
            </w: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供货范围</w:t>
            </w:r>
          </w:p>
          <w:p w14:paraId="0BD9227A" w14:textId="1884C964" w:rsidR="00667B87" w:rsidRPr="00B5208A" w:rsidRDefault="00E45AB4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45AB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3000℃</w:t>
            </w:r>
            <w:r w:rsidR="00A51B9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</w:t>
            </w:r>
            <w:r w:rsidRPr="00E45AB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高温流化</w:t>
            </w:r>
            <w:proofErr w:type="gramStart"/>
            <w:r w:rsidRPr="00E45AB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系统</w:t>
            </w:r>
            <w:proofErr w:type="gramEnd"/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的设计、供货、安装和调试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主要包含</w:t>
            </w:r>
            <w:r w:rsidR="009A780E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预热</w:t>
            </w: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系统、感应加热系统、温控系统、进气系统、物料多级冷却系统、杂质冷却收集系统、尾气处理系统、控制系统、红外热成像</w:t>
            </w:r>
            <w:r w:rsidR="009A780E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系统</w:t>
            </w:r>
            <w:r w:rsidR="00B5208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 w:rsidR="00B5208A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5MW电磁感应加热高温流化</w:t>
            </w:r>
            <w:proofErr w:type="gramStart"/>
            <w:r w:rsidR="00B5208A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系统</w:t>
            </w:r>
            <w:proofErr w:type="gramEnd"/>
            <w:r w:rsidR="00B5208A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的设计、供货、安装和调试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B5208A"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主要包含高低温颗粒储罐系统、进料系统、电热转化系统、气体输送系统、冷却系统、加热系统、控制系统。</w:t>
            </w:r>
          </w:p>
          <w:p w14:paraId="240C605D" w14:textId="75622922" w:rsidR="00667B87" w:rsidRPr="00067386" w:rsidRDefault="00B5208A">
            <w:pPr>
              <w:widowControl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五、</w:t>
            </w: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采购标的数量：1套</w:t>
            </w:r>
          </w:p>
          <w:p w14:paraId="517FD07D" w14:textId="1DA0A330" w:rsidR="00166076" w:rsidRPr="00166076" w:rsidRDefault="00B5208A" w:rsidP="0016607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六、</w:t>
            </w:r>
            <w:r w:rsidRPr="0006738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采购标的需满足的质量、服务、安全、时限等要求：</w:t>
            </w:r>
          </w:p>
          <w:p w14:paraId="7C9114C6" w14:textId="39887940" w:rsidR="00667B87" w:rsidRPr="00067386" w:rsidRDefault="001A3C82" w:rsidP="00A51B9F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A3C82">
              <w:rPr>
                <w:rFonts w:hint="eastAsia"/>
                <w:color w:val="000000"/>
                <w:szCs w:val="21"/>
              </w:rPr>
              <w:t>供应商需按照采购要求进行设计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1A3C82">
              <w:rPr>
                <w:rFonts w:hint="eastAsia"/>
                <w:color w:val="000000"/>
                <w:szCs w:val="21"/>
              </w:rPr>
              <w:t>采购并负责</w:t>
            </w:r>
            <w:r>
              <w:rPr>
                <w:rFonts w:hint="eastAsia"/>
                <w:color w:val="000000"/>
                <w:szCs w:val="21"/>
              </w:rPr>
              <w:t>现场装置的</w:t>
            </w:r>
            <w:r w:rsidRPr="001A3C82">
              <w:rPr>
                <w:rFonts w:hint="eastAsia"/>
                <w:color w:val="000000"/>
                <w:szCs w:val="21"/>
              </w:rPr>
              <w:t>安装调试，确保装置设计符合相关安全标准。设计</w:t>
            </w:r>
            <w:r w:rsidRPr="001A3C82">
              <w:rPr>
                <w:rFonts w:hint="eastAsia"/>
                <w:color w:val="000000"/>
                <w:szCs w:val="21"/>
              </w:rPr>
              <w:t>+</w:t>
            </w:r>
            <w:r w:rsidRPr="001A3C82">
              <w:rPr>
                <w:rFonts w:hint="eastAsia"/>
                <w:color w:val="000000"/>
                <w:szCs w:val="21"/>
              </w:rPr>
              <w:t>供货</w:t>
            </w:r>
            <w:r w:rsidRPr="001A3C82">
              <w:rPr>
                <w:rFonts w:hint="eastAsia"/>
                <w:color w:val="000000"/>
                <w:szCs w:val="21"/>
              </w:rPr>
              <w:t>+</w:t>
            </w:r>
            <w:r w:rsidRPr="001A3C82">
              <w:rPr>
                <w:rFonts w:hint="eastAsia"/>
                <w:color w:val="000000"/>
                <w:szCs w:val="21"/>
              </w:rPr>
              <w:t>安装</w:t>
            </w:r>
            <w:proofErr w:type="gramStart"/>
            <w:r w:rsidRPr="001A3C82">
              <w:rPr>
                <w:rFonts w:hint="eastAsia"/>
                <w:color w:val="000000"/>
                <w:szCs w:val="21"/>
              </w:rPr>
              <w:t>调试总</w:t>
            </w:r>
            <w:proofErr w:type="gramEnd"/>
            <w:r w:rsidRPr="001A3C82">
              <w:rPr>
                <w:rFonts w:hint="eastAsia"/>
                <w:color w:val="000000"/>
                <w:szCs w:val="21"/>
              </w:rPr>
              <w:t>时长不超过</w:t>
            </w:r>
            <w:r w:rsidRPr="001A3C82">
              <w:rPr>
                <w:rFonts w:hint="eastAsia"/>
                <w:color w:val="000000"/>
                <w:szCs w:val="21"/>
              </w:rPr>
              <w:t>4</w:t>
            </w:r>
            <w:r w:rsidRPr="001A3C82">
              <w:rPr>
                <w:rFonts w:hint="eastAsia"/>
                <w:color w:val="000000"/>
                <w:szCs w:val="21"/>
              </w:rPr>
              <w:t>个月，设备保运</w:t>
            </w:r>
            <w:r>
              <w:rPr>
                <w:rFonts w:hint="eastAsia"/>
                <w:color w:val="000000"/>
                <w:szCs w:val="21"/>
              </w:rPr>
              <w:t>期不少于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年，</w:t>
            </w:r>
            <w:r w:rsidRPr="001A3C82">
              <w:rPr>
                <w:rFonts w:hint="eastAsia"/>
                <w:color w:val="000000"/>
                <w:szCs w:val="21"/>
              </w:rPr>
              <w:t>服务保运</w:t>
            </w:r>
            <w:r>
              <w:rPr>
                <w:rFonts w:hint="eastAsia"/>
                <w:color w:val="000000"/>
                <w:szCs w:val="21"/>
              </w:rPr>
              <w:t>期不少于</w:t>
            </w:r>
            <w:r w:rsidRPr="001A3C82">
              <w:rPr>
                <w:rFonts w:hint="eastAsia"/>
                <w:color w:val="000000"/>
                <w:szCs w:val="21"/>
              </w:rPr>
              <w:t>3</w:t>
            </w:r>
            <w:r w:rsidRPr="001A3C82"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1986142" w14:textId="4E142CE9" w:rsidR="00667B87" w:rsidRPr="00067386" w:rsidRDefault="00000000">
      <w:pPr>
        <w:widowControl/>
        <w:spacing w:beforeAutospacing="1" w:afterAutospacing="1" w:line="600" w:lineRule="atLeast"/>
        <w:ind w:firstLine="640"/>
        <w:jc w:val="left"/>
        <w:rPr>
          <w:rFonts w:ascii="微软雅黑" w:eastAsia="微软雅黑" w:hAnsi="微软雅黑" w:cs="微软雅黑" w:hint="eastAsia"/>
          <w:color w:val="000000"/>
        </w:rPr>
      </w:pPr>
      <w:r w:rsidRPr="0006738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本次公开的采购意向是鄂尔多斯实验室采购工作的初步安排，具体采购项目情况以相关采购公告和采购文件为准。需要具体资料请联系：王老师，联系电话：15162115002</w:t>
      </w:r>
    </w:p>
    <w:p w14:paraId="0DD7ED8F" w14:textId="77F59A81" w:rsidR="00667B87" w:rsidRDefault="00000000">
      <w:pPr>
        <w:widowControl/>
        <w:spacing w:beforeAutospacing="1" w:afterAutospacing="1" w:line="600" w:lineRule="atLeast"/>
        <w:jc w:val="right"/>
        <w:rPr>
          <w:rFonts w:ascii="微软雅黑" w:eastAsia="微软雅黑" w:hAnsi="微软雅黑" w:cs="微软雅黑" w:hint="eastAsia"/>
          <w:color w:val="000000"/>
        </w:rPr>
      </w:pPr>
      <w:r w:rsidRPr="0006738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2024年11月</w:t>
      </w:r>
      <w:r w:rsidR="00B47A05" w:rsidRPr="0006738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</w:t>
      </w:r>
      <w:r w:rsidR="001A3C8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3</w:t>
      </w:r>
      <w:r w:rsidRPr="0006738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日</w:t>
      </w:r>
    </w:p>
    <w:p w14:paraId="2FC12C7D" w14:textId="77777777" w:rsidR="00667B87" w:rsidRDefault="00667B87"/>
    <w:sectPr w:rsidR="0066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AA1C" w14:textId="77777777" w:rsidR="004C26EF" w:rsidRDefault="004C26EF" w:rsidP="009A780E">
      <w:r>
        <w:separator/>
      </w:r>
    </w:p>
  </w:endnote>
  <w:endnote w:type="continuationSeparator" w:id="0">
    <w:p w14:paraId="17B44C6D" w14:textId="77777777" w:rsidR="004C26EF" w:rsidRDefault="004C26EF" w:rsidP="009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5EE0A" w14:textId="77777777" w:rsidR="004C26EF" w:rsidRDefault="004C26EF" w:rsidP="009A780E">
      <w:r>
        <w:separator/>
      </w:r>
    </w:p>
  </w:footnote>
  <w:footnote w:type="continuationSeparator" w:id="0">
    <w:p w14:paraId="08ED9699" w14:textId="77777777" w:rsidR="004C26EF" w:rsidRDefault="004C26EF" w:rsidP="009A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F74"/>
    <w:multiLevelType w:val="hybridMultilevel"/>
    <w:tmpl w:val="45F65E92"/>
    <w:lvl w:ilvl="0" w:tplc="ED8CA1B6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3507C4"/>
    <w:multiLevelType w:val="hybridMultilevel"/>
    <w:tmpl w:val="30F6D5BA"/>
    <w:lvl w:ilvl="0" w:tplc="025265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7333618">
    <w:abstractNumId w:val="1"/>
  </w:num>
  <w:num w:numId="2" w16cid:durableId="117337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0D1B8A"/>
    <w:rsid w:val="00067386"/>
    <w:rsid w:val="00091327"/>
    <w:rsid w:val="000C0DA9"/>
    <w:rsid w:val="000D1B8A"/>
    <w:rsid w:val="001534DE"/>
    <w:rsid w:val="00166076"/>
    <w:rsid w:val="001A3C82"/>
    <w:rsid w:val="001C4EB6"/>
    <w:rsid w:val="001F6B19"/>
    <w:rsid w:val="00215411"/>
    <w:rsid w:val="00230495"/>
    <w:rsid w:val="002941E2"/>
    <w:rsid w:val="002E3A4B"/>
    <w:rsid w:val="003C28EF"/>
    <w:rsid w:val="004422CF"/>
    <w:rsid w:val="004C26EF"/>
    <w:rsid w:val="00504A21"/>
    <w:rsid w:val="00562419"/>
    <w:rsid w:val="005816E0"/>
    <w:rsid w:val="005A3C31"/>
    <w:rsid w:val="005F7FB8"/>
    <w:rsid w:val="0062536E"/>
    <w:rsid w:val="00626651"/>
    <w:rsid w:val="00667B87"/>
    <w:rsid w:val="006815D3"/>
    <w:rsid w:val="00683DC2"/>
    <w:rsid w:val="0073138F"/>
    <w:rsid w:val="00754412"/>
    <w:rsid w:val="007B4647"/>
    <w:rsid w:val="00815D66"/>
    <w:rsid w:val="0082321D"/>
    <w:rsid w:val="00852833"/>
    <w:rsid w:val="008A783D"/>
    <w:rsid w:val="008F1626"/>
    <w:rsid w:val="008F695F"/>
    <w:rsid w:val="00902C83"/>
    <w:rsid w:val="009A780E"/>
    <w:rsid w:val="009B7A1C"/>
    <w:rsid w:val="009E355C"/>
    <w:rsid w:val="00A51B9F"/>
    <w:rsid w:val="00A84FDA"/>
    <w:rsid w:val="00A86517"/>
    <w:rsid w:val="00B15118"/>
    <w:rsid w:val="00B47A05"/>
    <w:rsid w:val="00B5208A"/>
    <w:rsid w:val="00B824D9"/>
    <w:rsid w:val="00BE5EDF"/>
    <w:rsid w:val="00BF305E"/>
    <w:rsid w:val="00C21B24"/>
    <w:rsid w:val="00C573A7"/>
    <w:rsid w:val="00CD206D"/>
    <w:rsid w:val="00CE129B"/>
    <w:rsid w:val="00D40AB9"/>
    <w:rsid w:val="00D62511"/>
    <w:rsid w:val="00D744F2"/>
    <w:rsid w:val="00D9271C"/>
    <w:rsid w:val="00DA033A"/>
    <w:rsid w:val="00DA1838"/>
    <w:rsid w:val="00DC4458"/>
    <w:rsid w:val="00DE46A4"/>
    <w:rsid w:val="00E45AB4"/>
    <w:rsid w:val="00E66481"/>
    <w:rsid w:val="00F128E7"/>
    <w:rsid w:val="00F23A84"/>
    <w:rsid w:val="00F50716"/>
    <w:rsid w:val="00F82B78"/>
    <w:rsid w:val="00FB0EDF"/>
    <w:rsid w:val="00FB4D10"/>
    <w:rsid w:val="280E0601"/>
    <w:rsid w:val="50306AD9"/>
    <w:rsid w:val="56747DE7"/>
    <w:rsid w:val="65DA3948"/>
    <w:rsid w:val="67AF67E0"/>
    <w:rsid w:val="7B8D58EC"/>
    <w:rsid w:val="7C0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52312"/>
  <w15:docId w15:val="{90477132-39DF-490F-A460-80DDD89A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9A780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吴垦</dc:creator>
  <cp:lastModifiedBy>泽众 王</cp:lastModifiedBy>
  <cp:revision>5</cp:revision>
  <dcterms:created xsi:type="dcterms:W3CDTF">2024-11-12T08:09:00Z</dcterms:created>
  <dcterms:modified xsi:type="dcterms:W3CDTF">2024-11-13T02:00:00Z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F0F82E4FCF624C538D03069A03B81E97_13</vt:lpwstr>
  </property>
</Properties>
</file>